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Índice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Resumen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Introducción Al Proyecto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Hipótesis</w:t>
        </w:r>
      </w:hyperlink>
      <w:hyperlink r:id="rId12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Marco Teórico</w:t>
        </w:r>
      </w:hyperlink>
      <w:hyperlink r:id="rId14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15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u w:val="single"/>
            <w:rtl w:val="0"/>
          </w:rPr>
          <w:t xml:space="preserve">Conceptos Claves:</w:t>
        </w:r>
      </w:hyperlink>
      <w:hyperlink r:id="rId16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1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Objetivos</w:t>
        </w:r>
      </w:hyperlink>
      <w:hyperlink r:id="rId18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1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Objetivo General</w:t>
        </w:r>
      </w:hyperlink>
      <w:hyperlink r:id="rId20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21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Objetivos Específicos</w:t>
        </w:r>
      </w:hyperlink>
      <w:hyperlink r:id="rId22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23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Metodología</w:t>
        </w:r>
      </w:hyperlink>
      <w:hyperlink r:id="rId24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25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Fases de Ejecución</w:t>
        </w:r>
      </w:hyperlink>
      <w:hyperlink r:id="rId26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2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Materiales y Herramientas</w:t>
        </w:r>
      </w:hyperlink>
      <w:hyperlink r:id="rId28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2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Recepción y Registro de RAEE</w:t>
        </w:r>
      </w:hyperlink>
      <w:hyperlink r:id="rId30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.. 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31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Resultados Esperados</w:t>
        </w:r>
      </w:hyperlink>
      <w:hyperlink r:id="rId32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33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Conclusiones</w:t>
        </w:r>
      </w:hyperlink>
      <w:hyperlink r:id="rId34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35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Recomendaciones</w:t>
        </w:r>
      </w:hyperlink>
      <w:hyperlink r:id="rId36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3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Bibliografía</w:t>
        </w:r>
      </w:hyperlink>
      <w:hyperlink r:id="rId38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1155cc"/>
        </w:rPr>
      </w:pPr>
      <w:hyperlink r:id="rId3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Agradecimientos</w:t>
        </w:r>
      </w:hyperlink>
      <w:hyperlink r:id="rId40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. 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spacing w:after="240" w:before="240" w:line="360" w:lineRule="auto"/>
        <w:jc w:val="center"/>
        <w:rPr/>
      </w:pPr>
      <w:bookmarkStart w:colFirst="0" w:colLast="0" w:name="_heading=h.e4wz19tmas9l" w:id="0"/>
      <w:bookmarkEnd w:id="0"/>
      <w:r w:rsidDel="00000000" w:rsidR="00000000" w:rsidRPr="00000000">
        <w:rPr>
          <w:rtl w:val="0"/>
        </w:rPr>
        <w:t xml:space="preserve">EcoFix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inscripción: 20/05/2025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wgfbagf1w9bx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el marco de la Ley de Educación Ambiental Integral N 27.621, tomando la problemática ambiental como resultado de procesos sociohistóricos, se cree pertinente el desarrollo del presente proyecto, como oportunidad de enseñanza y aprendizaje para ejercer el derecho ciudadano a un ambiente sano y diverso.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EcoFix es un proyecto educativo y tecnológico destinado a concientizar y capacitar a la comunidad sobre la problemática ambiental de los residuos electrónicos (RAEE). Su objetivo principal es promover prácticas sostenibles mediante la correcta clasificación, reciclado y reaprovechamiento de componentes electrónicos. A lo largo del proyecto, los estudiantes investigarán el impacto ambiental de los RAEE, identificarán materiales peligrosos y valiosos, y aprenderán métodos de desmontaje y clasificación segura. Se fomentará la creación de campañas de sensibilización para la comunidad.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busca darles una segunda oportunidad a componentes electrónicos mediante un proceso de diagnóstico y selección de los mismos. Luego del diagnóstico, los usuarios recibirán puntos con los cuales a futuro podrán canjear por diferentes servicios técnicos, capacitaciones o recompensas. El proyecto contará con una base de datos y una página web. El usuario podrá crear una cuenta en la cual almacenará puntos y podrá tener acceso a la lista de recompensas a canjear. El material obsoleto será entregado a una entidad encargada de proporcionar el reciclado adecuado para nuevo uso o simplemente evitar contaminar el ambiente. 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proyecto integra contenidos de electrónica, ambiente, salud y seguridad en el trabajo, fomentando una actitud crítica, responsable e innovadora frente al desarrollo tecnológico y sus consecuencias. </w:t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w2x7yum5ztbg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Introducción Al Proyecto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El proyecto EcoFix fue iniciado en 2021 por estudiantes de la orientación Informática de 7mo 1ra y ha evolucionado hasta el año 2025 con nuevos aportes y mejoras. El principal incentivo para continuar con este proyecto ha sido el creciente riesgo ambiental que representan los residuos de aparatos eléctricos y electrónicos (RAEE), en un contexto socio-histórico, en el que resulta fundamental actuar para revertir esta situación. 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En nuestra comunidad se observa una inadecuada gestión de residuos tecnológicos, lo que agrava la contaminación y sus efectos.  Frente a esto, se desarrolló una solución tecnológica y ambientalmente sostenible, que contempla la implementación de un sistema integrado enlazado a una base de datos que registra las acciones del usuario, así como la entrega y clasificación de componentes electrónicos. 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El objetivo principal del reciclaje de RAEE es fomentar la corresponsabilidad comunitaria, promoviendo que todos los miembros compartan el compromiso de cuidar el ambiente y fomentar el desarrollo sostenible. Asimismo, se busca fortalecer el vínculo entre la escuela y la comunidad. 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tratamiento adecuado de los RAEE implica: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Diagnóstico técnico: analizar qué partes pueden reutilizarse o repararse.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Desmontaje seguro: separar manualmente los componentes sin dañar materiales valiosos, ni liberar sustancias peligrosas.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before="360" w:line="3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mdl534yolg1t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Hipótesis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Si se concientiza a la comunidad sobre la gestión responsable de los RAEE, se reducirá el impacto ambiental local.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before="36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nos745ak63oj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Marco Teórico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En Argentina, la ley de Educación Ambiental Integral N°27.621 establece el derecho a una educación que promueva valores, conocimientos y prácticas para un desarrollo sustentable. Este proyecto se enmarca en dicha ley integrando contenidos ambientales en una propuesta educativa y tecnológica concreta.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="360" w:lineRule="auto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bookmarkStart w:colFirst="0" w:colLast="0" w:name="_heading=h.979j68sjolbw" w:id="5"/>
      <w:bookmarkEnd w:id="5"/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Conceptos Claves: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Residuos de aparatos eléctricos y electrónicos (RAEE): </w:t>
      </w:r>
      <w:r w:rsidDel="00000000" w:rsidR="00000000" w:rsidRPr="00000000">
        <w:rPr>
          <w:rFonts w:ascii="Arial" w:cs="Arial" w:eastAsia="Arial" w:hAnsi="Arial"/>
          <w:rtl w:val="0"/>
        </w:rPr>
        <w:t xml:space="preserve">son aquellos dispositivos eléctricos o electrónicos que han llegado al final de su vida útil o han quedado obsoletos. Incluyen desde pequeños electrodomésticos hasta computadoras, celulares, cargadores y otros equipos de uso diario. Estos residuos contienen materiales valiosos como cobre y cadmio, que pueden contaminar el suelo, agua y afectar a la salud humana.</w:t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Economía circular: </w:t>
      </w:r>
      <w:r w:rsidDel="00000000" w:rsidR="00000000" w:rsidRPr="00000000">
        <w:rPr>
          <w:rFonts w:ascii="Arial" w:cs="Arial" w:eastAsia="Arial" w:hAnsi="Arial"/>
          <w:rtl w:val="0"/>
        </w:rPr>
        <w:t xml:space="preserve">busca alargar el ciclo de vida de los productos mediante la reutilización, el reciclaje y la reparación, reduciendo la necesidad de extraer nuevos recursos y disminuyendo la generación de residuos. En el caso de los RAEE, implica recuperar componentes útiles para volver a integrarlos en nuevos dispositivos o usos educativos.</w:t>
      </w:r>
    </w:p>
    <w:p w:rsidR="00000000" w:rsidDel="00000000" w:rsidP="00000000" w:rsidRDefault="00000000" w:rsidRPr="00000000" w14:paraId="0000002D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Concientización ambiental: </w:t>
      </w:r>
      <w:r w:rsidDel="00000000" w:rsidR="00000000" w:rsidRPr="00000000">
        <w:rPr>
          <w:rFonts w:ascii="Arial" w:cs="Arial" w:eastAsia="Arial" w:hAnsi="Arial"/>
          <w:rtl w:val="0"/>
        </w:rPr>
        <w:t xml:space="preserve">proceso educativo que busca sensibilizar a las personas sobre los problemas del ambiente, sus causas y consecuencias, así como fomentar cambios en las conductas individuales y colectivas hacia un desarrollo más sostenible.</w:t>
      </w:r>
    </w:p>
    <w:p w:rsidR="00000000" w:rsidDel="00000000" w:rsidP="00000000" w:rsidRDefault="00000000" w:rsidRPr="00000000" w14:paraId="0000002E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Impacto ambiental y sanitario de los RAEE: </w:t>
      </w:r>
      <w:r w:rsidDel="00000000" w:rsidR="00000000" w:rsidRPr="00000000">
        <w:rPr>
          <w:rFonts w:ascii="Arial" w:cs="Arial" w:eastAsia="Arial" w:hAnsi="Arial"/>
          <w:rtl w:val="0"/>
        </w:rPr>
        <w:t xml:space="preserve">el crecimiento constante del consumo tecnológico ha generado un incremento preocupante de residuos electrónicos. Muchos de estos dispositivos son descartados sin una correcta separación, tratamiento y disposición final, provocando: 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Contaminación de suelos y napas por metales pesados.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Emisiones tóxicas al aire si son quemados.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Problemas de salud como enfermedades respiratorias, neurológicas o cáncer debido al contacto con sustancias peligrosas.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udpsc8bivoeh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before="360" w:line="3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6sv5fwswnnjr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Objetivo General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Aspiramos a promover prácticas sostenibles en la comunidad mediante la concientización, clasificación y reaprovechamiento de los RAEE, utilizando herramientas digitales y conocimientos técnicos. 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before="360" w:line="3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s23ooqonrn69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Objetivos Específicos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Identificar los componentes y materiales presentes en los residuos electrónicos.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Analizar los riesgos ambientales y sanitarios asociados al mal manejo de los RAEE.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Diseñar e implementar un sistema de recolección y clasificación de basura electrónica.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Fomentar la reutilización de componentes electrónicos en nuevos proyectos. </w:t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v1j78exu4wsa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Metodología</w:t>
      </w:r>
    </w:p>
    <w:p w:rsidR="00000000" w:rsidDel="00000000" w:rsidP="00000000" w:rsidRDefault="00000000" w:rsidRPr="00000000" w14:paraId="0000003B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El proyecto adoptó un diseño experimental con un abordaje metodológico mixto, combinado con técnicas cuantitativas y cualitativas para la recolección y el análisis de datos, a fin de sustentar el desarrollo e implementación de una solución tecnológica para la gestión de residuos electrónicos (RAEE).</w:t>
      </w:r>
    </w:p>
    <w:p w:rsidR="00000000" w:rsidDel="00000000" w:rsidP="00000000" w:rsidRDefault="00000000" w:rsidRPr="00000000" w14:paraId="0000003C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Para organizar y ejecutar de manera ordenada las distintas etapas del proyecto, se definió un ciclo de vida compuesto por 7 fases, desde el diagnóstico inicial hasta el seguimiento y mejoras continuas. La Figura 1 presenta este ciclo, que guio el desarrollo del proyecto y sistema EcoFix.</w:t>
      </w:r>
    </w:p>
    <w:p w:rsidR="00000000" w:rsidDel="00000000" w:rsidP="00000000" w:rsidRDefault="00000000" w:rsidRPr="00000000" w14:paraId="0000003D">
      <w:pPr>
        <w:spacing w:after="240" w:before="240"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Figura 1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Diagrama del ciclo de vida del proyecto y sistema EcoFix</w:t>
      </w:r>
    </w:p>
    <w:p w:rsidR="00000000" w:rsidDel="00000000" w:rsidP="00000000" w:rsidRDefault="00000000" w:rsidRPr="00000000" w14:paraId="0000003E">
      <w:pPr>
        <w:spacing w:after="240" w:before="240"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</w:rPr>
        <w:drawing>
          <wp:inline distB="114300" distT="114300" distL="114300" distR="114300">
            <wp:extent cx="5731200" cy="3848100"/>
            <wp:effectExtent b="0" l="0" r="0" t="0"/>
            <wp:docPr id="4316152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Nota. Elaboración propia.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before="360" w:line="3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jmaxqtx68fd1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Fases de Ejecución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Diagnóstico de la situación actual</w:t>
      </w:r>
      <w:r w:rsidDel="00000000" w:rsidR="00000000" w:rsidRPr="00000000">
        <w:rPr>
          <w:rFonts w:ascii="Arial" w:cs="Arial" w:eastAsia="Arial" w:hAnsi="Arial"/>
          <w:rtl w:val="0"/>
        </w:rPr>
        <w:t xml:space="preserve">: Se realizará un análisis del conocimiento y manejo actual de los residuos electrónicos por parte de la comunidad, mediante encuestas y entrevistas. Permitiendo identificar las principales problemáticas, como el desconocimiento de los RAEE y la falta de puntos de reciclaje.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Diseño del sistema EcoFix</w:t>
      </w:r>
      <w:r w:rsidDel="00000000" w:rsidR="00000000" w:rsidRPr="00000000">
        <w:rPr>
          <w:rFonts w:ascii="Arial" w:cs="Arial" w:eastAsia="Arial" w:hAnsi="Arial"/>
          <w:rtl w:val="0"/>
        </w:rPr>
        <w:t xml:space="preserve">: Se definirán las funcionalidades clave del sistema integrado: registro de usuarios, sistemas de puntos por reciclaje y acceso a información básica sobre RAEE.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Planificación de actividades y cronograma</w:t>
      </w:r>
      <w:r w:rsidDel="00000000" w:rsidR="00000000" w:rsidRPr="00000000">
        <w:rPr>
          <w:rFonts w:ascii="Arial" w:cs="Arial" w:eastAsia="Arial" w:hAnsi="Arial"/>
          <w:rtl w:val="0"/>
        </w:rPr>
        <w:t xml:space="preserve">: Se elaborará un plan de trabajo con etapas claras, asignación de responsables, tiempos estimados y recursos tecnológicos, humanos y materiales necesarios para cada fase. Para visualizar este cronograma se diseñó un diagrama de Gantt, que se representa en la Figura 2.</w:t>
      </w:r>
    </w:p>
    <w:p w:rsidR="00000000" w:rsidDel="00000000" w:rsidP="00000000" w:rsidRDefault="00000000" w:rsidRPr="00000000" w14:paraId="00000044">
      <w:pPr>
        <w:spacing w:after="240" w:before="240" w:line="360" w:lineRule="auto"/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Figura 2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Diagrama de Gantt del cronograma del proyecto EcoFix</w:t>
      </w:r>
    </w:p>
    <w:p w:rsidR="00000000" w:rsidDel="00000000" w:rsidP="00000000" w:rsidRDefault="00000000" w:rsidRPr="00000000" w14:paraId="00000045">
      <w:pPr>
        <w:spacing w:after="240" w:before="240" w:line="360" w:lineRule="auto"/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</w:rPr>
        <w:drawing>
          <wp:inline distB="114300" distT="114300" distL="114300" distR="114300">
            <wp:extent cx="5731200" cy="3035300"/>
            <wp:effectExtent b="0" l="0" r="0" t="0"/>
            <wp:docPr id="4316152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36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Nota. Elaboración propia.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Desarrollo del sistema integrado</w:t>
      </w:r>
      <w:r w:rsidDel="00000000" w:rsidR="00000000" w:rsidRPr="00000000">
        <w:rPr>
          <w:rFonts w:ascii="Arial" w:cs="Arial" w:eastAsia="Arial" w:hAnsi="Arial"/>
          <w:rtl w:val="0"/>
        </w:rPr>
        <w:t xml:space="preserve">: Diseño y programación del sistema, integrando las funcionalidades previamente definidas, con una interfaz intuitiva que permita a los usuarios registrar entregas de RAEE y acumular puntos.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Implementación piloto del sistema</w:t>
      </w:r>
      <w:r w:rsidDel="00000000" w:rsidR="00000000" w:rsidRPr="00000000">
        <w:rPr>
          <w:rFonts w:ascii="Arial" w:cs="Arial" w:eastAsia="Arial" w:hAnsi="Arial"/>
          <w:rtl w:val="0"/>
        </w:rPr>
        <w:t xml:space="preserve">: Se realizará una fase piloto en la institución o en la comunidad, donde se activará el sistema y se habilitarán puntos para probar el funcionamiento general del mismo. 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Monitoreo y evaluación continua</w:t>
      </w:r>
      <w:r w:rsidDel="00000000" w:rsidR="00000000" w:rsidRPr="00000000">
        <w:rPr>
          <w:rFonts w:ascii="Arial" w:cs="Arial" w:eastAsia="Arial" w:hAnsi="Arial"/>
          <w:rtl w:val="0"/>
        </w:rPr>
        <w:t xml:space="preserve">: Seguimiento para evaluar la participación de los usuarios, la cantidad de RAEE recolectados y la efectividad del sistema de puntos.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Ajustes y mejoras</w:t>
      </w:r>
      <w:r w:rsidDel="00000000" w:rsidR="00000000" w:rsidRPr="00000000">
        <w:rPr>
          <w:rFonts w:ascii="Arial" w:cs="Arial" w:eastAsia="Arial" w:hAnsi="Arial"/>
          <w:rtl w:val="0"/>
        </w:rPr>
        <w:t xml:space="preserve">: Con base en la retroalimentación del piloto, se realizarán ajustes en la plataforma y en los procedimientos operativos para optimizar su funcionalidad y eficiencia. 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Seguimiento y mejoras continuas</w:t>
      </w:r>
      <w:r w:rsidDel="00000000" w:rsidR="00000000" w:rsidRPr="00000000">
        <w:rPr>
          <w:rFonts w:ascii="Arial" w:cs="Arial" w:eastAsia="Arial" w:hAnsi="Arial"/>
          <w:rtl w:val="0"/>
        </w:rPr>
        <w:t xml:space="preserve">: Evaluación a mediano plazo, incorporando nuevas funcionalidades según las necesidades detectadas, y la optimización de la experiencia del usuario. </w:t>
      </w:r>
    </w:p>
    <w:p w:rsidR="00000000" w:rsidDel="00000000" w:rsidP="00000000" w:rsidRDefault="00000000" w:rsidRPr="00000000" w14:paraId="0000004C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k0xmduocks6w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Materiales y Herramientas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Equipos electrónicos en desuso.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Herramientas de desmontaje y mantenimiento.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Equipos informáticos para el desarrollo de software.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Plataformas de diseño web y bases de datos (HTML, CSS, SQL, PHP).</w:t>
      </w:r>
    </w:p>
    <w:p w:rsidR="00000000" w:rsidDel="00000000" w:rsidP="00000000" w:rsidRDefault="00000000" w:rsidRPr="00000000" w14:paraId="00000051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vnmcvgr6qiq4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Recepción y Registro de RAEE</w:t>
      </w:r>
    </w:p>
    <w:p w:rsidR="00000000" w:rsidDel="00000000" w:rsidP="00000000" w:rsidRDefault="00000000" w:rsidRPr="00000000" w14:paraId="00000052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La institución estará abierta a la comunidad para que esta acerque componentes que considere chatarra, que estén en desuso o sean obsoletos. En la misma, los RAEE pasaran por una fase de diagnóstico y selección en la cual se va a determinar su estado y si son viables para la fase de reciclaje. Luego del diagnóstico, los usuarios recibirán puntos acumulables, con los cuales a futuro podrán canjear por diferentes servicios técnicos o recompensas.  </w:t>
      </w:r>
    </w:p>
    <w:p w:rsidR="00000000" w:rsidDel="00000000" w:rsidP="00000000" w:rsidRDefault="00000000" w:rsidRPr="00000000" w14:paraId="00000053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La chatarra que sea completamente obsoleta será derivada a centros especializados en el reciclaje correcto y seguro de dichos componentes. </w:t>
      </w:r>
    </w:p>
    <w:p w:rsidR="00000000" w:rsidDel="00000000" w:rsidP="00000000" w:rsidRDefault="00000000" w:rsidRPr="00000000" w14:paraId="00000054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8zon83tc0ylt" w:id="13"/>
      <w:bookmarkEnd w:id="1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Resultados Esperados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activa de estudiantes y familias.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Recolección de RAEE clasificados. 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Funcionamiento exitoso del sistema en la fase piloto. </w:t>
      </w:r>
    </w:p>
    <w:p w:rsidR="00000000" w:rsidDel="00000000" w:rsidP="00000000" w:rsidRDefault="00000000" w:rsidRPr="00000000" w14:paraId="00000058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wjm54v5y5lf1" w:id="14"/>
      <w:bookmarkEnd w:id="1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Conclusiones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logró sensibilizar a la comunidad sobre el problema de los RAEE: A lo largo del proyecto, se logró generar conciencia en la comunidad educativa y local acerca del impacto ambiental y social que producen los Residuos de Aparatos Eléctricos y Electrónicos (RAEE). Se visibilizó la problemática, fomentando una actitud más responsable en relación con el consumo y descarte de tecnología.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promovió la reutilización y el reciclaje mediante herramientas tecnológicas: el proyecto implementó diversas estrategias apoyadas en el uso de tecnologías digitales, como plataformas interactivas y sistemas de puntos, para incentivar el reciclaje y la reutilización de dispositivos electrónicos en desuso. Estas herramientas motivaron a los usuarios a adoptar prácticas sostenibles, aportando a la economía circular y reduciendo el volumen de residuos tecnológicos que terminan en vertederos.</w:t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eh3ra7se7529" w:id="15"/>
      <w:bookmarkEnd w:id="1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Recomendaciones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Establecer convenios con empresas recicladoras. 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Incluir talleres técnicos sobre desmontaje y reutilización. 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Replicar el proyecto en otras instituciones. </w:t>
      </w:r>
    </w:p>
    <w:p w:rsidR="00000000" w:rsidDel="00000000" w:rsidP="00000000" w:rsidRDefault="00000000" w:rsidRPr="00000000" w14:paraId="0000005F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kdzsxuxvyhai" w:id="16"/>
      <w:bookmarkEnd w:id="1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Bibliografía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Ley N°27.621 de Educación Ambiental Integral. (2021). Boletín Oficial de la República Argentina.</w:t>
      </w:r>
      <w:hyperlink r:id="rId43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4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https://www.argentina.gob.ar/normativa/nacional/ley-27621-350594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Ministerio de Ambiente y Desarrollo Sostenible (2023). Gestión de residuos electrónicos.</w:t>
      </w:r>
      <w:hyperlink r:id="rId45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4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https://www.argentina.gob.ar/ambiente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Organización de las Naciones Unidas para la Educación, la Ciencia y la Cultura (UNESCO). (2022). Informe mundial sobre educación ambiental.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Luján Castillo, E.(2017). HTML5, CSS3 y JavaScript - crea tu web y apps con el estándar de desarrollo (3.ª ed.). Marcombo.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Gauchat, J. D. (2017). El gran libro de HTML5, CSS3 y JavaScript (3.ª ed.). Marcombo.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Molina, F. (s.f.). Aprender PHP, MySQL y JavaScript con jQuery, CSS y HTML5 (5ª ed.). PDF.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Torres, R. (s.f.) Desarrollo de aplicaciones web con PHP y MySQL (PDF).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Palomo, M., &amp; Montero, I. (s.f.). Programación en PHP a través de ejemplos (PDF).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Fernández, H. (2021). Aplicaciones web con PHP. Ediciones de la U.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Álvarez García, A.(2022). HTML5. Manual imprescindible. Alfaomega.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Óppel, S. (s.f.). Fundamentos de SQL (3ª ed.). PDF.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CodigoCompilado.(2015, septiembre 21).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Base de datos</w:t>
      </w:r>
      <w:r w:rsidDel="00000000" w:rsidR="00000000" w:rsidRPr="00000000">
        <w:rPr>
          <w:rFonts w:ascii="Arial" w:cs="Arial" w:eastAsia="Arial" w:hAnsi="Arial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Video</w:t>
      </w:r>
      <w:r w:rsidDel="00000000" w:rsidR="00000000" w:rsidRPr="00000000">
        <w:rPr>
          <w:rFonts w:ascii="Arial" w:cs="Arial" w:eastAsia="Arial" w:hAnsi="Arial"/>
          <w:rtl w:val="0"/>
        </w:rPr>
        <w:t xml:space="preserve">]. YouTube.</w:t>
      </w:r>
      <w:hyperlink r:id="rId47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4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https://youtube.com/playlist?list=PLs1sXiNvW4OyJCZs5WR3OjPZTlIqNcvQi&amp;si=LlGG8FD8vCOAhUx-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after="0" w:after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Mejaalex. (2021, marzo 14).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Curso de desarrollo web con MySQL, JavaScript y PHP. [Video]. </w:t>
      </w:r>
      <w:r w:rsidDel="00000000" w:rsidR="00000000" w:rsidRPr="00000000">
        <w:rPr>
          <w:rFonts w:ascii="Arial" w:cs="Arial" w:eastAsia="Arial" w:hAnsi="Arial"/>
          <w:rtl w:val="0"/>
        </w:rPr>
        <w:t xml:space="preserve">YouTube.</w:t>
      </w:r>
      <w:hyperlink r:id="rId4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https://youtube.com/playlist?list=PLqAeTNIOvUlFuPsfCzT_nQr4wzDzwRKBm&amp;si=Eew3EZDDlVJAMkPf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after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EKOA – Programa de Inclusión Digital y Ambiental de la UNLP. (s.f.). Inicio.EKOA – UNLP.</w:t>
      </w:r>
      <w:hyperlink r:id="rId50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5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https://ekoa.unlp.edu.ar/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keepNext w:val="0"/>
        <w:keepLines w:val="0"/>
        <w:spacing w:after="120" w:before="48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keeli6ucvkwn" w:id="17"/>
      <w:bookmarkEnd w:id="1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Agradecimientos</w:t>
      </w:r>
    </w:p>
    <w:p w:rsidR="00000000" w:rsidDel="00000000" w:rsidP="00000000" w:rsidRDefault="00000000" w:rsidRPr="00000000" w14:paraId="0000006F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Queremos expresar nuestro más sincero agradecimiento a la institución educativa, por brindar el espacio, los recursos y el acompañamiento necesario para llevar adelante el proyecto EcoFix. Su apertura al trabajo colaborativo y al enfoque ambiental fue fundamental para el desarrollo de cada una de las etapas del proyecto.</w:t>
      </w:r>
    </w:p>
    <w:p w:rsidR="00000000" w:rsidDel="00000000" w:rsidP="00000000" w:rsidRDefault="00000000" w:rsidRPr="00000000" w14:paraId="00000070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De la misma forma, extendemos nuestro reconocimiento al equipo docente, cuyo compromiso, orientación y apoyo constante resultaron clave para guiar nuestras ideas, fortalecer el trabajo en equipo y garantizar la calidad técnica y pedagógica de la propuesta. Su acompañamiento nos motivó a pensar en soluciones reales y sostenibles para los desafíos ambientales actuales.</w:t>
      </w:r>
    </w:p>
    <w:p w:rsidR="00000000" w:rsidDel="00000000" w:rsidP="00000000" w:rsidRDefault="00000000" w:rsidRPr="00000000" w14:paraId="00000071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  <w:t xml:space="preserve">Finalmente, valoramos profundamente la colaboración de todas las personas que, directa e indirectamente, aportaron su granito de arena para que EcoFix siga creciendo como una propuesta educativa comprometida con el cuidado del ambiente y el desarrollo sustentable.   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52" w:type="first"/>
      <w:footerReference r:id="rId53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-335279</wp:posOffset>
          </wp:positionV>
          <wp:extent cx="7394741" cy="10803255"/>
          <wp:effectExtent b="0" l="0" r="0" t="0"/>
          <wp:wrapTopAndBottom distB="114300" distT="114300"/>
          <wp:docPr id="4316152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30730" r="30730" t="0"/>
                  <a:stretch>
                    <a:fillRect/>
                  </a:stretch>
                </pic:blipFill>
                <pic:spPr>
                  <a:xfrm>
                    <a:off x="0" y="0"/>
                    <a:ext cx="7394741" cy="108032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224FE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24FE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24FE8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24FE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224FE8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224FE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224FE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24FE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224FE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224FE8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24FE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24FE8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24FE8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224FE8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224FE8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224FE8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24FE8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224FE8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224FE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24FE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224FE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24FE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224FE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224FE8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224FE8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224FE8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224FE8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24FE8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224FE8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.docs.live.net/a0a06c539f06dcc2/Documentos/Punto%20Sostenible/Informe_FEACT_E.E.S.T.N%C2%B02.docx#_Toc200977575" TargetMode="External"/><Relationship Id="rId42" Type="http://schemas.openxmlformats.org/officeDocument/2006/relationships/image" Target="media/image1.png"/><Relationship Id="rId41" Type="http://schemas.openxmlformats.org/officeDocument/2006/relationships/image" Target="media/image3.png"/><Relationship Id="rId44" Type="http://schemas.openxmlformats.org/officeDocument/2006/relationships/hyperlink" Target="https://www.argentina.gob.ar/normativa/nacional/ley-27621-350594" TargetMode="External"/><Relationship Id="rId43" Type="http://schemas.openxmlformats.org/officeDocument/2006/relationships/hyperlink" Target="https://www.argentina.gob.ar/normativa/nacional/ley-27621-350594" TargetMode="External"/><Relationship Id="rId46" Type="http://schemas.openxmlformats.org/officeDocument/2006/relationships/hyperlink" Target="https://www.argentina.gob.ar/ambiente%C2%A0" TargetMode="External"/><Relationship Id="rId45" Type="http://schemas.openxmlformats.org/officeDocument/2006/relationships/hyperlink" Target="https://www.argentina.gob.ar/ambiente%C2%A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.docs.live.net/a0a06c539f06dcc2/Documentos/Punto%20Sostenible/Informe_FEACT_E.E.S.T.N%C2%B02.docx#_Toc200977560" TargetMode="External"/><Relationship Id="rId48" Type="http://schemas.openxmlformats.org/officeDocument/2006/relationships/hyperlink" Target="https://youtube.com/playlist?list=PLs1sXiNvW4OyJCZs5WR3OjPZTlIqNcvQi&amp;si=LlGG8FD8vCOAhUx-" TargetMode="External"/><Relationship Id="rId47" Type="http://schemas.openxmlformats.org/officeDocument/2006/relationships/hyperlink" Target="https://youtube.com/playlist?list=PLs1sXiNvW4OyJCZs5WR3OjPZTlIqNcvQi&amp;si=LlGG8FD8vCOAhUx-" TargetMode="External"/><Relationship Id="rId49" Type="http://schemas.openxmlformats.org/officeDocument/2006/relationships/hyperlink" Target="https://youtube.com/playlist?list=PLqAeTNIOvUlFuPsfCzT_nQr4wzDzwRKBm&amp;si=Eew3EZDDlVJAMkP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.docs.live.net/a0a06c539f06dcc2/Documentos/Punto%20Sostenible/Informe_FEACT_E.E.S.T.N%C2%B02.docx#_Toc200977559" TargetMode="External"/><Relationship Id="rId8" Type="http://schemas.openxmlformats.org/officeDocument/2006/relationships/hyperlink" Target="https://d.docs.live.net/a0a06c539f06dcc2/Documentos/Punto%20Sostenible/Informe_FEACT_E.E.S.T.N%C2%B02.docx#_Toc200977559" TargetMode="External"/><Relationship Id="rId31" Type="http://schemas.openxmlformats.org/officeDocument/2006/relationships/hyperlink" Target="https://d.docs.live.net/a0a06c539f06dcc2/Documentos/Punto%20Sostenible/Informe_FEACT_E.E.S.T.N%C2%B02.docx#_Toc200977571" TargetMode="External"/><Relationship Id="rId30" Type="http://schemas.openxmlformats.org/officeDocument/2006/relationships/hyperlink" Target="https://d.docs.live.net/a0a06c539f06dcc2/Documentos/Punto%20Sostenible/Informe_FEACT_E.E.S.T.N%C2%B02.docx#_Toc200977570" TargetMode="External"/><Relationship Id="rId33" Type="http://schemas.openxmlformats.org/officeDocument/2006/relationships/hyperlink" Target="https://d.docs.live.net/a0a06c539f06dcc2/Documentos/Punto%20Sostenible/Informe_FEACT_E.E.S.T.N%C2%B02.docx#_Toc200977572" TargetMode="External"/><Relationship Id="rId32" Type="http://schemas.openxmlformats.org/officeDocument/2006/relationships/hyperlink" Target="https://d.docs.live.net/a0a06c539f06dcc2/Documentos/Punto%20Sostenible/Informe_FEACT_E.E.S.T.N%C2%B02.docx#_Toc200977571" TargetMode="External"/><Relationship Id="rId35" Type="http://schemas.openxmlformats.org/officeDocument/2006/relationships/hyperlink" Target="https://d.docs.live.net/a0a06c539f06dcc2/Documentos/Punto%20Sostenible/Informe_FEACT_E.E.S.T.N%C2%B02.docx#_Toc200977573" TargetMode="External"/><Relationship Id="rId34" Type="http://schemas.openxmlformats.org/officeDocument/2006/relationships/hyperlink" Target="https://d.docs.live.net/a0a06c539f06dcc2/Documentos/Punto%20Sostenible/Informe_FEACT_E.E.S.T.N%C2%B02.docx#_Toc200977572" TargetMode="External"/><Relationship Id="rId37" Type="http://schemas.openxmlformats.org/officeDocument/2006/relationships/hyperlink" Target="https://d.docs.live.net/a0a06c539f06dcc2/Documentos/Punto%20Sostenible/Informe_FEACT_E.E.S.T.N%C2%B02.docx#_Toc200977574" TargetMode="External"/><Relationship Id="rId36" Type="http://schemas.openxmlformats.org/officeDocument/2006/relationships/hyperlink" Target="https://d.docs.live.net/a0a06c539f06dcc2/Documentos/Punto%20Sostenible/Informe_FEACT_E.E.S.T.N%C2%B02.docx#_Toc200977573" TargetMode="External"/><Relationship Id="rId39" Type="http://schemas.openxmlformats.org/officeDocument/2006/relationships/hyperlink" Target="https://d.docs.live.net/a0a06c539f06dcc2/Documentos/Punto%20Sostenible/Informe_FEACT_E.E.S.T.N%C2%B02.docx#_Toc200977575" TargetMode="External"/><Relationship Id="rId38" Type="http://schemas.openxmlformats.org/officeDocument/2006/relationships/hyperlink" Target="https://d.docs.live.net/a0a06c539f06dcc2/Documentos/Punto%20Sostenible/Informe_FEACT_E.E.S.T.N%C2%B02.docx#_Toc200977574" TargetMode="External"/><Relationship Id="rId20" Type="http://schemas.openxmlformats.org/officeDocument/2006/relationships/hyperlink" Target="https://d.docs.live.net/a0a06c539f06dcc2/Documentos/Punto%20Sostenible/Informe_FEACT_E.E.S.T.N%C2%B02.docx#_Toc200977565" TargetMode="External"/><Relationship Id="rId22" Type="http://schemas.openxmlformats.org/officeDocument/2006/relationships/hyperlink" Target="https://d.docs.live.net/a0a06c539f06dcc2/Documentos/Punto%20Sostenible/Informe_FEACT_E.E.S.T.N%C2%B02.docx#_Toc200977566" TargetMode="External"/><Relationship Id="rId21" Type="http://schemas.openxmlformats.org/officeDocument/2006/relationships/hyperlink" Target="https://d.docs.live.net/a0a06c539f06dcc2/Documentos/Punto%20Sostenible/Informe_FEACT_E.E.S.T.N%C2%B02.docx#_Toc200977566" TargetMode="External"/><Relationship Id="rId24" Type="http://schemas.openxmlformats.org/officeDocument/2006/relationships/hyperlink" Target="https://d.docs.live.net/a0a06c539f06dcc2/Documentos/Punto%20Sostenible/Informe_FEACT_E.E.S.T.N%C2%B02.docx#_Toc200977567" TargetMode="External"/><Relationship Id="rId23" Type="http://schemas.openxmlformats.org/officeDocument/2006/relationships/hyperlink" Target="https://d.docs.live.net/a0a06c539f06dcc2/Documentos/Punto%20Sostenible/Informe_FEACT_E.E.S.T.N%C2%B02.docx#_Toc200977567" TargetMode="External"/><Relationship Id="rId26" Type="http://schemas.openxmlformats.org/officeDocument/2006/relationships/hyperlink" Target="https://d.docs.live.net/a0a06c539f06dcc2/Documentos/Punto%20Sostenible/Informe_FEACT_E.E.S.T.N%C2%B02.docx#_Toc200977568" TargetMode="External"/><Relationship Id="rId25" Type="http://schemas.openxmlformats.org/officeDocument/2006/relationships/hyperlink" Target="https://d.docs.live.net/a0a06c539f06dcc2/Documentos/Punto%20Sostenible/Informe_FEACT_E.E.S.T.N%C2%B02.docx#_Toc200977568" TargetMode="External"/><Relationship Id="rId28" Type="http://schemas.openxmlformats.org/officeDocument/2006/relationships/hyperlink" Target="https://d.docs.live.net/a0a06c539f06dcc2/Documentos/Punto%20Sostenible/Informe_FEACT_E.E.S.T.N%C2%B02.docx#_Toc200977569" TargetMode="External"/><Relationship Id="rId27" Type="http://schemas.openxmlformats.org/officeDocument/2006/relationships/hyperlink" Target="https://d.docs.live.net/a0a06c539f06dcc2/Documentos/Punto%20Sostenible/Informe_FEACT_E.E.S.T.N%C2%B02.docx#_Toc200977569" TargetMode="External"/><Relationship Id="rId29" Type="http://schemas.openxmlformats.org/officeDocument/2006/relationships/hyperlink" Target="https://d.docs.live.net/a0a06c539f06dcc2/Documentos/Punto%20Sostenible/Informe_FEACT_E.E.S.T.N%C2%B02.docx#_Toc200977570" TargetMode="External"/><Relationship Id="rId51" Type="http://schemas.openxmlformats.org/officeDocument/2006/relationships/hyperlink" Target="https://ekoa.unlp.edu.ar/" TargetMode="External"/><Relationship Id="rId50" Type="http://schemas.openxmlformats.org/officeDocument/2006/relationships/hyperlink" Target="https://ekoa.unlp.edu.ar/" TargetMode="External"/><Relationship Id="rId53" Type="http://schemas.openxmlformats.org/officeDocument/2006/relationships/footer" Target="footer1.xml"/><Relationship Id="rId52" Type="http://schemas.openxmlformats.org/officeDocument/2006/relationships/header" Target="header1.xml"/><Relationship Id="rId11" Type="http://schemas.openxmlformats.org/officeDocument/2006/relationships/hyperlink" Target="https://d.docs.live.net/a0a06c539f06dcc2/Documentos/Punto%20Sostenible/Informe_FEACT_E.E.S.T.N%C2%B02.docx#_Toc200977561" TargetMode="External"/><Relationship Id="rId10" Type="http://schemas.openxmlformats.org/officeDocument/2006/relationships/hyperlink" Target="https://d.docs.live.net/a0a06c539f06dcc2/Documentos/Punto%20Sostenible/Informe_FEACT_E.E.S.T.N%C2%B02.docx#_Toc200977560" TargetMode="External"/><Relationship Id="rId13" Type="http://schemas.openxmlformats.org/officeDocument/2006/relationships/hyperlink" Target="https://d.docs.live.net/a0a06c539f06dcc2/Documentos/Punto%20Sostenible/Informe_FEACT_E.E.S.T.N%C2%B02.docx#_Toc200977562" TargetMode="External"/><Relationship Id="rId12" Type="http://schemas.openxmlformats.org/officeDocument/2006/relationships/hyperlink" Target="https://d.docs.live.net/a0a06c539f06dcc2/Documentos/Punto%20Sostenible/Informe_FEACT_E.E.S.T.N%C2%B02.docx#_Toc200977561" TargetMode="External"/><Relationship Id="rId15" Type="http://schemas.openxmlformats.org/officeDocument/2006/relationships/hyperlink" Target="https://d.docs.live.net/a0a06c539f06dcc2/Documentos/Punto%20Sostenible/Informe_FEACT_E.E.S.T.N%C2%B02.docx#_Toc200977563" TargetMode="External"/><Relationship Id="rId14" Type="http://schemas.openxmlformats.org/officeDocument/2006/relationships/hyperlink" Target="https://d.docs.live.net/a0a06c539f06dcc2/Documentos/Punto%20Sostenible/Informe_FEACT_E.E.S.T.N%C2%B02.docx#_Toc200977562" TargetMode="External"/><Relationship Id="rId17" Type="http://schemas.openxmlformats.org/officeDocument/2006/relationships/hyperlink" Target="https://d.docs.live.net/a0a06c539f06dcc2/Documentos/Punto%20Sostenible/Informe_FEACT_E.E.S.T.N%C2%B02.docx#_Toc200977564" TargetMode="External"/><Relationship Id="rId16" Type="http://schemas.openxmlformats.org/officeDocument/2006/relationships/hyperlink" Target="https://d.docs.live.net/a0a06c539f06dcc2/Documentos/Punto%20Sostenible/Informe_FEACT_E.E.S.T.N%C2%B02.docx#_Toc200977563" TargetMode="External"/><Relationship Id="rId19" Type="http://schemas.openxmlformats.org/officeDocument/2006/relationships/hyperlink" Target="https://d.docs.live.net/a0a06c539f06dcc2/Documentos/Punto%20Sostenible/Informe_FEACT_E.E.S.T.N%C2%B02.docx#_Toc200977565" TargetMode="External"/><Relationship Id="rId18" Type="http://schemas.openxmlformats.org/officeDocument/2006/relationships/hyperlink" Target="https://d.docs.live.net/a0a06c539f06dcc2/Documentos/Punto%20Sostenible/Informe_FEACT_E.E.S.T.N%C2%B02.docx#_Toc20097756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E1vg+T0zSlC2buGKNQlnwQV0fQ==">CgMxLjAyDmguZTR3ejE5dG1hczlsMg5oLndnZmJhZ2YxdzlieDIOaC53Mng3eXVtNXp0YmcyDmgubWRsNTM0eW9sZzF0Mg5oLm5vczc0NWFrNjNvajIOaC45NzlqNjhzam9sYncyDmgudWRwc2M4Yml2b2VoMg5oLjZzdjVmd3N3bm5qcjIOaC5zMjNvb3FvbnJuNjkyDmgudjFqNzhleHU0d3NhMg5oLmptYXhxdHg2OGZkMTIOaC5rMHhtZHVvY2tzNncyDmgudm5tY3ZncjZxaXE0Mg5oLjh6b244M3RjMHlsdDIOaC53am01NHY1eTVsZjEyDmguZWgzcmE3c2U3NTI5Mg5oLmtkenN4dXh2eWhhaTIOaC5rZWVsaTZ1Y3Zrd244AHIhMW8wZ3ItbGlxa1VMLUgtUTE0LXRQS3NyT0VaWE9ra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2025-06-12T13:54:00Z</dcterms:created>
  <dc:creator>Fiamma Demagistris</dc:creator>
</cp:coreProperties>
</file>